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35 – Create a Scalable Architecture Plan</w:t>
      </w:r>
    </w:p>
    <w:p>
      <w:r>
        <w:t>☐ Define which new departments or teams will onboard to Freshservice.</w:t>
      </w:r>
    </w:p>
    <w:p>
      <w:r>
        <w:t>☐ Identify the modules each team will use: Tickets, Catalog, Assets, Tasks, etc.</w:t>
      </w:r>
    </w:p>
    <w:p>
      <w:r>
        <w:t>☐ Map out roles, groups, SLAs, and approval logic required for each department.</w:t>
      </w:r>
    </w:p>
    <w:p>
      <w:r>
        <w:t>☐ Build a Department Onboarding Playbook including request templates, SLAs, and escalation paths.</w:t>
      </w:r>
    </w:p>
    <w:p>
      <w:r>
        <w:t>☐ Configure department-specific forms, requester fields, and group visibility settings.</w:t>
      </w:r>
    </w:p>
    <w:p>
      <w:r>
        <w:t>☐ If available, test configurations in a sandbox environment.</w:t>
      </w:r>
    </w:p>
    <w:p>
      <w:r>
        <w:t>☐ Assign owners and conduct live training prior to go-live.</w:t>
      </w:r>
    </w:p>
    <w:p>
      <w:r>
        <w:t>☐ Monitor adoption and issues post-launch; document learnings.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